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2A1D71A2" w:rsidR="00351FF5" w:rsidRDefault="00194675" w:rsidP="00351FF5">
      <w:pPr>
        <w:rPr>
          <w:szCs w:val="22"/>
        </w:rPr>
      </w:pPr>
      <w:r>
        <w:rPr>
          <w:szCs w:val="22"/>
        </w:rPr>
        <w:t xml:space="preserve">  </w:t>
      </w:r>
      <w:r w:rsidR="004B1728">
        <w:rPr>
          <w:noProof/>
        </w:rPr>
        <w:drawing>
          <wp:inline distT="0" distB="0" distL="0" distR="0" wp14:anchorId="383C8B94" wp14:editId="1D1B1350">
            <wp:extent cx="1009650" cy="33129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29" cy="3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FF5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BB1B668" wp14:editId="22CA0C10">
            <wp:simplePos x="717550" y="717550"/>
            <wp:positionH relativeFrom="column">
              <wp:align>left</wp:align>
            </wp:positionH>
            <wp:positionV relativeFrom="paragraph">
              <wp:align>top</wp:align>
            </wp:positionV>
            <wp:extent cx="774700" cy="3048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7ED">
        <w:rPr>
          <w:szCs w:val="22"/>
        </w:rPr>
        <w:br w:type="textWrapping" w:clear="all"/>
      </w:r>
    </w:p>
    <w:p w14:paraId="0EBBBB4B" w14:textId="2A5820D9" w:rsidR="00EB31B9" w:rsidRPr="00EB31B9" w:rsidRDefault="00EB31B9" w:rsidP="00EB31B9">
      <w:pPr>
        <w:pStyle w:val="Nadpis1"/>
        <w:jc w:val="both"/>
        <w:rPr>
          <w:b w:val="0"/>
          <w:color w:val="auto"/>
        </w:rPr>
      </w:pPr>
      <w:r w:rsidRPr="00EB31B9">
        <w:rPr>
          <w:b w:val="0"/>
          <w:color w:val="auto"/>
          <w:sz w:val="50"/>
          <w:szCs w:val="50"/>
        </w:rPr>
        <w:t>KB Pojišťovna: Nejčastější škody jsou vodovodní, nejdražší újmy zase způsobují požáry</w:t>
      </w:r>
    </w:p>
    <w:p w14:paraId="16F1A09F" w14:textId="77777777" w:rsidR="0039017F" w:rsidRDefault="0039017F" w:rsidP="0039017F">
      <w:pPr>
        <w:spacing w:line="240" w:lineRule="auto"/>
        <w:rPr>
          <w:rFonts w:ascii="Inter Semi Bold" w:hAnsi="Inter Semi Bold"/>
          <w:b/>
          <w:bCs/>
          <w:szCs w:val="22"/>
        </w:rPr>
      </w:pPr>
    </w:p>
    <w:p w14:paraId="5D578050" w14:textId="07AC3724" w:rsidR="0039017F" w:rsidRPr="00945BEC" w:rsidRDefault="0039017F" w:rsidP="0039017F">
      <w:pPr>
        <w:spacing w:line="240" w:lineRule="auto"/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>Praha,</w:t>
      </w:r>
      <w:r>
        <w:rPr>
          <w:rFonts w:ascii="Inter Semi Bold" w:hAnsi="Inter Semi Bold"/>
          <w:b/>
          <w:bCs/>
          <w:szCs w:val="22"/>
        </w:rPr>
        <w:t xml:space="preserve"> 7. června 2023</w:t>
      </w:r>
    </w:p>
    <w:p w14:paraId="2B807238" w14:textId="77777777" w:rsidR="0039017F" w:rsidRDefault="0039017F" w:rsidP="0039017F">
      <w:pPr>
        <w:spacing w:line="240" w:lineRule="auto"/>
        <w:jc w:val="both"/>
        <w:rPr>
          <w:b/>
          <w:color w:val="FF0000"/>
          <w:sz w:val="50"/>
          <w:szCs w:val="50"/>
        </w:rPr>
      </w:pPr>
    </w:p>
    <w:p w14:paraId="2046D128" w14:textId="20BD23F0" w:rsidR="00EB31B9" w:rsidRDefault="00EB31B9" w:rsidP="0039017F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Kdy a proč si majitelé nemovitostí sjednávají majetkové pojištění? Nejčastěji když kupují dům nebo byt a uzavírají hypotéky a nejvíce se obávají vichřic, krupobití nebo povodní. Impulsem k uzavření smlouvy na </w:t>
      </w:r>
      <w:r w:rsidRPr="0005031E">
        <w:rPr>
          <w:b/>
          <w:bCs/>
        </w:rPr>
        <w:t xml:space="preserve">pojištění domácnosti </w:t>
      </w:r>
      <w:r>
        <w:rPr>
          <w:b/>
          <w:bCs/>
        </w:rPr>
        <w:t>zase pro majitele obvykle bývá ochrana majetku před zloději. Podle statistik KB Pojišťovny p</w:t>
      </w:r>
      <w:r w:rsidRPr="0005031E">
        <w:rPr>
          <w:b/>
          <w:bCs/>
        </w:rPr>
        <w:t xml:space="preserve">řitom nejdražší a nejčastější škody </w:t>
      </w:r>
      <w:r>
        <w:rPr>
          <w:b/>
          <w:bCs/>
        </w:rPr>
        <w:t xml:space="preserve">způsobují </w:t>
      </w:r>
      <w:r w:rsidRPr="0005031E">
        <w:rPr>
          <w:b/>
          <w:bCs/>
        </w:rPr>
        <w:t xml:space="preserve">dva </w:t>
      </w:r>
      <w:r>
        <w:rPr>
          <w:b/>
          <w:bCs/>
        </w:rPr>
        <w:t xml:space="preserve">jiné </w:t>
      </w:r>
      <w:r w:rsidRPr="0005031E">
        <w:rPr>
          <w:b/>
          <w:bCs/>
        </w:rPr>
        <w:t xml:space="preserve">živly – oheň a voda, zejména ta, která vytéká z vodovodních zařízení. </w:t>
      </w:r>
      <w:r>
        <w:rPr>
          <w:b/>
          <w:bCs/>
        </w:rPr>
        <w:t>V</w:t>
      </w:r>
      <w:r w:rsidRPr="0005031E">
        <w:rPr>
          <w:b/>
          <w:bCs/>
        </w:rPr>
        <w:t xml:space="preserve">odovodní události </w:t>
      </w:r>
      <w:r>
        <w:rPr>
          <w:b/>
          <w:bCs/>
        </w:rPr>
        <w:t xml:space="preserve">figurují ve výčtech </w:t>
      </w:r>
      <w:r w:rsidRPr="0005031E">
        <w:rPr>
          <w:b/>
          <w:bCs/>
        </w:rPr>
        <w:t xml:space="preserve">na prvním místě a </w:t>
      </w:r>
      <w:proofErr w:type="gramStart"/>
      <w:r w:rsidRPr="0005031E">
        <w:rPr>
          <w:b/>
          <w:bCs/>
        </w:rPr>
        <w:t>tvoří</w:t>
      </w:r>
      <w:proofErr w:type="gramEnd"/>
      <w:r w:rsidRPr="0005031E">
        <w:rPr>
          <w:b/>
          <w:bCs/>
        </w:rPr>
        <w:t xml:space="preserve"> plnou pětinu všech majetkových škod. </w:t>
      </w:r>
      <w:r>
        <w:rPr>
          <w:b/>
          <w:bCs/>
        </w:rPr>
        <w:t xml:space="preserve">Výrazně méně jich mají na svědomí </w:t>
      </w:r>
      <w:r w:rsidRPr="0005031E">
        <w:rPr>
          <w:b/>
          <w:bCs/>
        </w:rPr>
        <w:t>požáry</w:t>
      </w:r>
      <w:r>
        <w:rPr>
          <w:b/>
          <w:bCs/>
        </w:rPr>
        <w:t>, zato jsou jedny z nejnákladnější.</w:t>
      </w:r>
      <w:r w:rsidRPr="0005031E">
        <w:rPr>
          <w:b/>
          <w:bCs/>
        </w:rPr>
        <w:t xml:space="preserve"> </w:t>
      </w:r>
      <w:r>
        <w:rPr>
          <w:b/>
          <w:bCs/>
        </w:rPr>
        <w:t>V loňském roce</w:t>
      </w:r>
      <w:r w:rsidRPr="0005031E">
        <w:rPr>
          <w:b/>
          <w:bCs/>
        </w:rPr>
        <w:t xml:space="preserve"> poskytla KB Pojišťovna nejvyšší pojistné plnění</w:t>
      </w:r>
      <w:r>
        <w:rPr>
          <w:b/>
          <w:bCs/>
        </w:rPr>
        <w:t xml:space="preserve"> z důvodu požáru,</w:t>
      </w:r>
      <w:r w:rsidRPr="0005031E">
        <w:rPr>
          <w:b/>
          <w:bCs/>
        </w:rPr>
        <w:t xml:space="preserve"> téměř 5 milionů korun</w:t>
      </w:r>
      <w:r>
        <w:rPr>
          <w:b/>
          <w:bCs/>
        </w:rPr>
        <w:t xml:space="preserve">, a to majiteli nemovitosti, jehož dům zachvátil požár od zkratu </w:t>
      </w:r>
      <w:r w:rsidRPr="0005031E">
        <w:rPr>
          <w:b/>
          <w:bCs/>
        </w:rPr>
        <w:t>elektrokol</w:t>
      </w:r>
      <w:r>
        <w:rPr>
          <w:b/>
          <w:bCs/>
        </w:rPr>
        <w:t>a</w:t>
      </w:r>
      <w:r w:rsidR="00A6642E">
        <w:rPr>
          <w:b/>
          <w:bCs/>
        </w:rPr>
        <w:t>.</w:t>
      </w:r>
    </w:p>
    <w:p w14:paraId="57D29EEE" w14:textId="77777777" w:rsidR="00EB31B9" w:rsidRDefault="00EB31B9" w:rsidP="00EB31B9">
      <w:pPr>
        <w:spacing w:line="240" w:lineRule="atLeast"/>
        <w:jc w:val="both"/>
        <w:rPr>
          <w:b/>
          <w:bCs/>
        </w:rPr>
      </w:pPr>
    </w:p>
    <w:p w14:paraId="46280187" w14:textId="77777777" w:rsidR="00EB31B9" w:rsidRPr="00D20F93" w:rsidRDefault="00EB31B9" w:rsidP="00EB31B9">
      <w:pPr>
        <w:pBdr>
          <w:top w:val="none" w:sz="0" w:space="11" w:color="000000"/>
          <w:left w:val="none" w:sz="0" w:space="3" w:color="000000"/>
          <w:bottom w:val="none" w:sz="0" w:space="11" w:color="000000"/>
          <w:between w:val="none" w:sz="0" w:space="11" w:color="000000"/>
        </w:pBdr>
        <w:shd w:val="clear" w:color="auto" w:fill="FFFFFF"/>
        <w:spacing w:line="240" w:lineRule="atLeast"/>
        <w:jc w:val="both"/>
      </w:pPr>
      <w:r w:rsidRPr="007E6B65">
        <w:t xml:space="preserve">Mezi </w:t>
      </w:r>
      <w:r>
        <w:t xml:space="preserve">tradiční </w:t>
      </w:r>
      <w:r w:rsidRPr="007E6B65">
        <w:t xml:space="preserve">příčiny domácích požárů </w:t>
      </w:r>
      <w:proofErr w:type="gramStart"/>
      <w:r w:rsidRPr="007E6B65">
        <w:t>patří</w:t>
      </w:r>
      <w:proofErr w:type="gramEnd"/>
      <w:r w:rsidRPr="007E6B65">
        <w:t xml:space="preserve"> zkraty v</w:t>
      </w:r>
      <w:r>
        <w:t xml:space="preserve"> rozvaděčích a </w:t>
      </w:r>
      <w:r w:rsidRPr="007E6B65">
        <w:t>elektroinstalaci, používání otevřeného ohně nebo závady komín</w:t>
      </w:r>
      <w:r>
        <w:t>ů a</w:t>
      </w:r>
      <w:r w:rsidRPr="007E6B65">
        <w:t xml:space="preserve"> topidel</w:t>
      </w:r>
      <w:r>
        <w:t>. Časté jsou i ohně vzniklé v kuchyni při vaření vzniklé vzplanutím oleje či tuku na pánvi</w:t>
      </w:r>
      <w:r w:rsidRPr="007E6B65">
        <w:t>.</w:t>
      </w:r>
      <w:r>
        <w:t xml:space="preserve"> </w:t>
      </w:r>
      <w:r w:rsidRPr="007E6B65">
        <w:t xml:space="preserve">Likvidátoři ale </w:t>
      </w:r>
      <w:proofErr w:type="gramStart"/>
      <w:r w:rsidRPr="007E6B65">
        <w:t>řeší</w:t>
      </w:r>
      <w:proofErr w:type="gramEnd"/>
      <w:r w:rsidRPr="007E6B65">
        <w:t xml:space="preserve"> i méně obvyklé požáry</w:t>
      </w:r>
      <w:r>
        <w:t>.</w:t>
      </w:r>
      <w:r w:rsidRPr="007E6B65">
        <w:t xml:space="preserve"> </w:t>
      </w:r>
      <w:r w:rsidRPr="00107BA5">
        <w:rPr>
          <w:i/>
          <w:iCs/>
        </w:rPr>
        <w:t xml:space="preserve">„Skrytým nebezpečím se pro majitele domu stala i zahradní vířivka, tedy její topné těleso, které se vznítilo a </w:t>
      </w:r>
      <w:r>
        <w:rPr>
          <w:i/>
          <w:iCs/>
        </w:rPr>
        <w:t xml:space="preserve">ohni neodolala </w:t>
      </w:r>
      <w:r w:rsidRPr="00107BA5">
        <w:rPr>
          <w:i/>
          <w:iCs/>
        </w:rPr>
        <w:t>nejen vířivka samotná, ale i pergola, ve které byla umístěna</w:t>
      </w:r>
      <w:r>
        <w:rPr>
          <w:i/>
          <w:iCs/>
        </w:rPr>
        <w:t>. Popelem lehl i</w:t>
      </w:r>
      <w:r w:rsidRPr="00107BA5">
        <w:rPr>
          <w:i/>
          <w:iCs/>
        </w:rPr>
        <w:t xml:space="preserve"> zahradní nábytek, to vše za více než půl milionu,“</w:t>
      </w:r>
      <w:r>
        <w:t xml:space="preserve"> uvedl</w:t>
      </w:r>
      <w:r w:rsidRPr="007E6B65">
        <w:t xml:space="preserve"> specialista na majetkové pojištění Martin Svoboda z KB Pojišťovny</w:t>
      </w:r>
      <w:r>
        <w:t>.</w:t>
      </w:r>
    </w:p>
    <w:p w14:paraId="07CF758F" w14:textId="49514FE4" w:rsidR="00EB31B9" w:rsidRDefault="00EB31B9" w:rsidP="00EB31B9">
      <w:pPr>
        <w:spacing w:line="240" w:lineRule="atLeast"/>
        <w:jc w:val="both"/>
        <w:rPr>
          <w:bCs/>
        </w:rPr>
      </w:pPr>
      <w:r w:rsidRPr="00E7471E">
        <w:rPr>
          <w:bCs/>
        </w:rPr>
        <w:t>I nejčastější škody</w:t>
      </w:r>
      <w:r>
        <w:rPr>
          <w:bCs/>
        </w:rPr>
        <w:t xml:space="preserve"> – vodovodní</w:t>
      </w:r>
      <w:r w:rsidRPr="00E7471E">
        <w:rPr>
          <w:bCs/>
        </w:rPr>
        <w:t>,</w:t>
      </w:r>
      <w:r>
        <w:rPr>
          <w:bCs/>
        </w:rPr>
        <w:t xml:space="preserve"> které </w:t>
      </w:r>
      <w:r w:rsidR="00C623B6">
        <w:rPr>
          <w:bCs/>
        </w:rPr>
        <w:t xml:space="preserve">jsou </w:t>
      </w:r>
      <w:r>
        <w:rPr>
          <w:bCs/>
        </w:rPr>
        <w:t xml:space="preserve">průměrně bývají </w:t>
      </w:r>
      <w:r w:rsidR="00C623B6">
        <w:rPr>
          <w:bCs/>
        </w:rPr>
        <w:t>přes 20</w:t>
      </w:r>
      <w:r>
        <w:rPr>
          <w:bCs/>
        </w:rPr>
        <w:t xml:space="preserve"> tisíc,</w:t>
      </w:r>
      <w:r w:rsidRPr="00E7471E">
        <w:rPr>
          <w:bCs/>
        </w:rPr>
        <w:t xml:space="preserve"> mohou být nákladné.</w:t>
      </w:r>
      <w:r>
        <w:rPr>
          <w:bCs/>
          <w:i/>
          <w:iCs/>
        </w:rPr>
        <w:t xml:space="preserve"> „Jedna z nich </w:t>
      </w:r>
      <w:r w:rsidRPr="0009154D">
        <w:rPr>
          <w:bCs/>
          <w:i/>
          <w:iCs/>
        </w:rPr>
        <w:t xml:space="preserve">vznikla například majiteli dřevostavby, do které celý víkend vytékala voda z potrubí. Bylo nutné dokonce vyříznout část konstrukce a opravit poškozené stěny a podlahy v celém přízemí. Náklady </w:t>
      </w:r>
      <w:r>
        <w:rPr>
          <w:bCs/>
          <w:i/>
          <w:iCs/>
        </w:rPr>
        <w:t xml:space="preserve">dosáhly třičtvrtě milionu </w:t>
      </w:r>
      <w:r w:rsidRPr="0009154D">
        <w:rPr>
          <w:bCs/>
          <w:i/>
          <w:iCs/>
        </w:rPr>
        <w:t>korun,“</w:t>
      </w:r>
      <w:r w:rsidRPr="0009154D">
        <w:rPr>
          <w:bCs/>
        </w:rPr>
        <w:t xml:space="preserve"> uvedl likvidátor Kamil Zajíček z KB Pojišťovny. Bezmála </w:t>
      </w:r>
      <w:r>
        <w:rPr>
          <w:bCs/>
        </w:rPr>
        <w:t>500</w:t>
      </w:r>
      <w:r w:rsidRPr="0009154D">
        <w:rPr>
          <w:bCs/>
        </w:rPr>
        <w:t xml:space="preserve"> tisíc Kč zaplatila </w:t>
      </w:r>
      <w:r>
        <w:rPr>
          <w:bCs/>
        </w:rPr>
        <w:t>KB Pojišťovna</w:t>
      </w:r>
      <w:r w:rsidRPr="0009154D">
        <w:rPr>
          <w:bCs/>
        </w:rPr>
        <w:t xml:space="preserve"> </w:t>
      </w:r>
      <w:r>
        <w:rPr>
          <w:bCs/>
        </w:rPr>
        <w:t xml:space="preserve">minulý rok </w:t>
      </w:r>
      <w:r w:rsidRPr="0009154D">
        <w:rPr>
          <w:bCs/>
        </w:rPr>
        <w:t xml:space="preserve">za vytopenou část domu „jen“ kvůli prasklé hadičce vodovodní baterie. Tou podle odborníků může protéct víc než tisíc litrů vody za hodinu. </w:t>
      </w:r>
      <w:r w:rsidRPr="0009154D">
        <w:rPr>
          <w:bCs/>
          <w:i/>
          <w:iCs/>
        </w:rPr>
        <w:t>„Instalatérské hadičky přivádějící vodu do umyvadel a dřezů, praček a myček a do toalet, jsou vůbec největším zdrojem pohrom v domácnostech. Proto nejčastěji vznikají škody v kuchyních a v koupelnách,“</w:t>
      </w:r>
      <w:r w:rsidRPr="0009154D">
        <w:rPr>
          <w:bCs/>
        </w:rPr>
        <w:t xml:space="preserve"> doplňuje </w:t>
      </w:r>
      <w:r>
        <w:rPr>
          <w:bCs/>
        </w:rPr>
        <w:t>Martin Svoboda</w:t>
      </w:r>
      <w:r w:rsidRPr="0009154D">
        <w:rPr>
          <w:bCs/>
        </w:rPr>
        <w:t>.</w:t>
      </w:r>
    </w:p>
    <w:p w14:paraId="3CDD9670" w14:textId="77777777" w:rsidR="00EB31B9" w:rsidRPr="00167E81" w:rsidRDefault="00EB31B9" w:rsidP="00EB31B9">
      <w:pPr>
        <w:spacing w:line="240" w:lineRule="auto"/>
        <w:jc w:val="both"/>
        <w:rPr>
          <w:rFonts w:cstheme="minorHAnsi"/>
          <w:b/>
          <w:bCs/>
        </w:rPr>
      </w:pPr>
    </w:p>
    <w:p w14:paraId="1BE115F7" w14:textId="77777777" w:rsidR="00EB31B9" w:rsidRPr="0009154D" w:rsidRDefault="00EB31B9" w:rsidP="00EB31B9">
      <w:pPr>
        <w:spacing w:line="240" w:lineRule="auto"/>
        <w:jc w:val="both"/>
        <w:rPr>
          <w:rFonts w:eastAsia="Times New Roman"/>
        </w:rPr>
      </w:pPr>
      <w:r w:rsidRPr="0009154D">
        <w:rPr>
          <w:rFonts w:cstheme="minorHAnsi"/>
          <w:b/>
          <w:bCs/>
        </w:rPr>
        <w:t>Protože na majetek číhá řada nebezpečí a nikdo z nás neví dne ani hodiny, kdy do dveří vtrhne katastrofa, KB Pojišťovna připravila</w:t>
      </w:r>
      <w:r w:rsidRPr="0009154D">
        <w:rPr>
          <w:rFonts w:cstheme="minorHAnsi"/>
        </w:rPr>
        <w:t xml:space="preserve"> </w:t>
      </w:r>
      <w:r w:rsidRPr="0009154D">
        <w:rPr>
          <w:rFonts w:cstheme="minorHAnsi"/>
          <w:b/>
          <w:bCs/>
        </w:rPr>
        <w:t xml:space="preserve">ve spolupráci s Komerční bankou tradiční akční nabídku majetkového pojištění. </w:t>
      </w:r>
      <w:proofErr w:type="spellStart"/>
      <w:r w:rsidRPr="0009154D">
        <w:rPr>
          <w:rFonts w:cstheme="minorHAnsi"/>
          <w:b/>
          <w:bCs/>
        </w:rPr>
        <w:t>MojePojištění</w:t>
      </w:r>
      <w:proofErr w:type="spellEnd"/>
      <w:r w:rsidRPr="0009154D">
        <w:rPr>
          <w:rFonts w:cstheme="minorHAnsi"/>
          <w:b/>
          <w:bCs/>
        </w:rPr>
        <w:t xml:space="preserve"> majetku nabízí slevu ve výši 30 % na pojistném, a to po celou dobu trvání smlouvy při společném pojištění domácnosti i nemovitosti. Akční nabídka je již v platnosti a potrvá do 30. června 2023. </w:t>
      </w:r>
    </w:p>
    <w:p w14:paraId="25145EF4" w14:textId="77777777" w:rsidR="00EB31B9" w:rsidRPr="0009154D" w:rsidRDefault="00EB31B9" w:rsidP="00EB31B9">
      <w:pPr>
        <w:spacing w:line="240" w:lineRule="auto"/>
        <w:jc w:val="both"/>
        <w:rPr>
          <w:rFonts w:cstheme="minorHAnsi"/>
        </w:rPr>
      </w:pPr>
    </w:p>
    <w:p w14:paraId="198B6F4A" w14:textId="77777777" w:rsidR="00EB31B9" w:rsidRPr="0009154D" w:rsidRDefault="00EB31B9" w:rsidP="00EB31B9">
      <w:pPr>
        <w:spacing w:line="240" w:lineRule="auto"/>
        <w:jc w:val="both"/>
        <w:rPr>
          <w:rFonts w:eastAsia="Times New Roman" w:cstheme="minorHAnsi"/>
          <w:color w:val="000000"/>
        </w:rPr>
      </w:pPr>
      <w:r w:rsidRPr="002033A1">
        <w:rPr>
          <w:rFonts w:eastAsia="Times New Roman" w:cstheme="minorHAnsi"/>
          <w:color w:val="000000"/>
        </w:rPr>
        <w:t>„</w:t>
      </w:r>
      <w:r w:rsidRPr="002033A1">
        <w:rPr>
          <w:rFonts w:cstheme="minorHAnsi"/>
          <w:i/>
          <w:iCs/>
        </w:rPr>
        <w:t>Klientům se vždy snažíme v produktech nabízet něco navíc, nebo něco, co jinde nenajdou</w:t>
      </w:r>
      <w:r w:rsidRPr="002033A1">
        <w:rPr>
          <w:rFonts w:eastAsia="Times New Roman" w:cstheme="minorHAnsi"/>
          <w:color w:val="000000"/>
        </w:rPr>
        <w:t xml:space="preserve">. </w:t>
      </w:r>
      <w:r w:rsidRPr="002033A1">
        <w:rPr>
          <w:rFonts w:eastAsia="Times New Roman" w:cstheme="minorHAnsi"/>
          <w:i/>
          <w:iCs/>
          <w:color w:val="000000"/>
        </w:rPr>
        <w:t xml:space="preserve">Například naše </w:t>
      </w:r>
      <w:proofErr w:type="spellStart"/>
      <w:r w:rsidRPr="002033A1">
        <w:rPr>
          <w:rFonts w:eastAsia="Times New Roman" w:cstheme="minorHAnsi"/>
          <w:b/>
          <w:bCs/>
          <w:i/>
          <w:iCs/>
          <w:color w:val="000000"/>
        </w:rPr>
        <w:t>MojePojištění</w:t>
      </w:r>
      <w:proofErr w:type="spellEnd"/>
      <w:r w:rsidRPr="002033A1">
        <w:rPr>
          <w:rFonts w:eastAsia="Times New Roman" w:cstheme="minorHAnsi"/>
          <w:b/>
          <w:bCs/>
          <w:i/>
          <w:iCs/>
          <w:color w:val="000000"/>
        </w:rPr>
        <w:t xml:space="preserve"> majetku</w:t>
      </w:r>
      <w:r w:rsidRPr="002033A1">
        <w:rPr>
          <w:rFonts w:eastAsia="Times New Roman" w:cstheme="minorHAnsi"/>
          <w:i/>
          <w:iCs/>
          <w:color w:val="000000"/>
        </w:rPr>
        <w:t xml:space="preserve"> jako jediné na českém trhu přináší plnění škod na nemovitosti bez limitu. Ale i v klientském servisu nabízíme specifické služby – na</w:t>
      </w:r>
      <w:r w:rsidRPr="002033A1">
        <w:rPr>
          <w:rFonts w:eastAsia="Times New Roman"/>
          <w:i/>
          <w:iCs/>
        </w:rPr>
        <w:t xml:space="preserve"> pobočkách mateřské Komerční banky pracují pojistní specialisté, kteří zájemcům o pojištění navrhnou řešení podle jejich potřeb a dokážou se podívat i na jejich stávající smlouvy u jiných pojistitelů a udělat audit těchto smluv,“</w:t>
      </w:r>
      <w:r w:rsidRPr="002033A1">
        <w:rPr>
          <w:rFonts w:eastAsia="Times New Roman"/>
        </w:rPr>
        <w:t xml:space="preserve"> </w:t>
      </w:r>
      <w:r w:rsidRPr="002033A1">
        <w:rPr>
          <w:rFonts w:cstheme="minorHAnsi"/>
        </w:rPr>
        <w:t xml:space="preserve">říká </w:t>
      </w:r>
      <w:r w:rsidRPr="002033A1">
        <w:rPr>
          <w:rFonts w:eastAsia="Times New Roman" w:cstheme="minorHAnsi"/>
          <w:color w:val="000000"/>
        </w:rPr>
        <w:t>Zdeněk Doboš, člen představenstva pojišťovny.</w:t>
      </w:r>
    </w:p>
    <w:p w14:paraId="4CFF8EE2" w14:textId="19085715" w:rsidR="00EB31B9" w:rsidRPr="0009154D" w:rsidRDefault="00EB31B9" w:rsidP="00EB31B9">
      <w:pPr>
        <w:shd w:val="clear" w:color="auto" w:fill="FFFFFF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09154D">
        <w:rPr>
          <w:rFonts w:eastAsia="Times New Roman" w:cstheme="minorHAnsi"/>
          <w:b/>
          <w:bCs/>
          <w:color w:val="000000"/>
        </w:rPr>
        <w:lastRenderedPageBreak/>
        <w:t>MojePojištění</w:t>
      </w:r>
      <w:proofErr w:type="spellEnd"/>
      <w:r w:rsidRPr="0009154D">
        <w:rPr>
          <w:rFonts w:eastAsia="Times New Roman" w:cstheme="minorHAnsi"/>
          <w:b/>
          <w:bCs/>
          <w:color w:val="000000"/>
        </w:rPr>
        <w:t xml:space="preserve"> majetku</w:t>
      </w:r>
      <w:r w:rsidRPr="0009154D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</w:rPr>
        <w:t xml:space="preserve">nejenže </w:t>
      </w:r>
      <w:r w:rsidRPr="0009154D">
        <w:rPr>
          <w:rFonts w:eastAsia="Times New Roman" w:cstheme="minorHAnsi"/>
          <w:color w:val="000000"/>
          <w:shd w:val="clear" w:color="auto" w:fill="FFFFFF"/>
        </w:rPr>
        <w:t xml:space="preserve">zajistí náhradu pojištěného majetku, ale v době odstraňování následků škody pomůže i s úhradou dočasného ubytování a u velkých škod i se splátkami úvěru </w:t>
      </w:r>
      <w:r>
        <w:rPr>
          <w:rFonts w:eastAsia="Times New Roman" w:cstheme="minorHAnsi"/>
          <w:color w:val="000000"/>
          <w:shd w:val="clear" w:color="auto" w:fill="FFFFFF"/>
        </w:rPr>
        <w:t xml:space="preserve">na bydlení </w:t>
      </w:r>
      <w:r w:rsidRPr="0009154D">
        <w:rPr>
          <w:rFonts w:eastAsia="Times New Roman" w:cstheme="minorHAnsi"/>
          <w:color w:val="000000"/>
          <w:shd w:val="clear" w:color="auto" w:fill="FFFFFF"/>
        </w:rPr>
        <w:t>nebo hypotéky až</w:t>
      </w:r>
      <w:r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Pr="0009154D">
        <w:rPr>
          <w:rFonts w:eastAsia="Times New Roman" w:cstheme="minorHAnsi"/>
          <w:color w:val="000000"/>
          <w:shd w:val="clear" w:color="auto" w:fill="FFFFFF"/>
        </w:rPr>
        <w:t xml:space="preserve">po dobu jednoho roku. Tuto pojistnou ochranu </w:t>
      </w:r>
      <w:r w:rsidRPr="0009154D">
        <w:rPr>
          <w:rFonts w:eastAsia="Times New Roman" w:cstheme="minorHAnsi"/>
          <w:color w:val="000000"/>
        </w:rPr>
        <w:t xml:space="preserve">mohou mít zájemci </w:t>
      </w:r>
      <w:r>
        <w:rPr>
          <w:rFonts w:eastAsia="Times New Roman" w:cstheme="minorHAnsi"/>
          <w:color w:val="000000"/>
        </w:rPr>
        <w:t xml:space="preserve">při sjednání pojištění </w:t>
      </w:r>
      <w:r w:rsidRPr="0009154D">
        <w:rPr>
          <w:rFonts w:eastAsia="Times New Roman" w:cstheme="minorHAnsi"/>
          <w:color w:val="000000"/>
        </w:rPr>
        <w:t xml:space="preserve">až do konce června 2023 s trvalou slevou 30 %. </w:t>
      </w:r>
    </w:p>
    <w:p w14:paraId="03195C2E" w14:textId="77777777" w:rsidR="00EB31B9" w:rsidRPr="0009154D" w:rsidRDefault="00EB31B9" w:rsidP="00EB31B9">
      <w:pPr>
        <w:shd w:val="clear" w:color="auto" w:fill="FFFFFF"/>
        <w:spacing w:line="240" w:lineRule="auto"/>
        <w:jc w:val="both"/>
        <w:rPr>
          <w:rFonts w:cstheme="minorHAnsi"/>
          <w:i/>
          <w:iCs/>
        </w:rPr>
      </w:pPr>
    </w:p>
    <w:p w14:paraId="7EF20FA6" w14:textId="214C87E2" w:rsidR="00EB31B9" w:rsidRPr="0009154D" w:rsidRDefault="00EB31B9" w:rsidP="00EB31B9">
      <w:pPr>
        <w:shd w:val="clear" w:color="auto" w:fill="FFFFFF"/>
        <w:spacing w:line="240" w:lineRule="auto"/>
        <w:jc w:val="both"/>
        <w:rPr>
          <w:b/>
          <w:bCs/>
        </w:rPr>
      </w:pPr>
      <w:r w:rsidRPr="0009154D">
        <w:rPr>
          <w:rFonts w:cstheme="minorHAnsi"/>
          <w:color w:val="000000"/>
          <w:shd w:val="clear" w:color="auto" w:fill="FFFFFF"/>
        </w:rPr>
        <w:t xml:space="preserve">Všechny detaily </w:t>
      </w:r>
      <w:r>
        <w:rPr>
          <w:rFonts w:cstheme="minorHAnsi"/>
          <w:color w:val="000000"/>
          <w:shd w:val="clear" w:color="auto" w:fill="FFFFFF"/>
        </w:rPr>
        <w:t>této akční nabídky</w:t>
      </w:r>
      <w:r w:rsidRPr="0009154D">
        <w:rPr>
          <w:rFonts w:cstheme="minorHAnsi"/>
          <w:color w:val="000000"/>
          <w:shd w:val="clear" w:color="auto" w:fill="FFFFFF"/>
        </w:rPr>
        <w:t xml:space="preserve"> jsou k dispozici na </w:t>
      </w:r>
      <w:hyperlink r:id="rId13" w:history="1">
        <w:r w:rsidRPr="0009154D">
          <w:rPr>
            <w:rStyle w:val="Hypertextovodkaz"/>
            <w:rFonts w:cstheme="minorHAnsi"/>
            <w:color w:val="0070C0"/>
            <w:shd w:val="clear" w:color="auto" w:fill="FFFFFF"/>
          </w:rPr>
          <w:t>www.kbpojistovna.cz/majetek</w:t>
        </w:r>
      </w:hyperlink>
      <w:r w:rsidRPr="0009154D">
        <w:rPr>
          <w:rFonts w:cstheme="minorHAnsi"/>
          <w:color w:val="000000"/>
          <w:shd w:val="clear" w:color="auto" w:fill="FFFFFF"/>
        </w:rPr>
        <w:t xml:space="preserve">. Rady, jak předejít škodám všeho druhu, výčet asistenčních služeb, které pomohou v nesnázích, když už se něco přihodí nebo tipy, jak správně pojistit nemovitost a domácnost shrnuje </w:t>
      </w:r>
      <w:r w:rsidR="00681A0D">
        <w:rPr>
          <w:rFonts w:cstheme="minorHAnsi"/>
          <w:color w:val="000000"/>
          <w:shd w:val="clear" w:color="auto" w:fill="FFFFFF"/>
        </w:rPr>
        <w:t>článek</w:t>
      </w:r>
      <w:r w:rsidRPr="00681A0D">
        <w:rPr>
          <w:rStyle w:val="Hypertextovodkaz"/>
          <w:color w:val="0070C0"/>
        </w:rPr>
        <w:t xml:space="preserve"> </w:t>
      </w:r>
      <w:hyperlink r:id="rId14" w:history="1">
        <w:r w:rsidRPr="00C623B6">
          <w:rPr>
            <w:rStyle w:val="Hypertextovodkaz"/>
            <w:rFonts w:cstheme="minorHAnsi"/>
            <w:color w:val="0070C0"/>
            <w:shd w:val="clear" w:color="auto" w:fill="FFFFFF"/>
          </w:rPr>
          <w:t>Jak</w:t>
        </w:r>
        <w:r w:rsidRPr="00681A0D">
          <w:rPr>
            <w:rStyle w:val="Hypertextovodkaz"/>
            <w:rFonts w:cstheme="minorHAnsi"/>
            <w:color w:val="0070C0"/>
            <w:shd w:val="clear" w:color="auto" w:fill="FFFFFF"/>
          </w:rPr>
          <w:t xml:space="preserve"> </w:t>
        </w:r>
        <w:r w:rsidRPr="00C623B6">
          <w:rPr>
            <w:rStyle w:val="Hypertextovodkaz"/>
            <w:rFonts w:cstheme="minorHAnsi"/>
            <w:color w:val="0070C0"/>
            <w:shd w:val="clear" w:color="auto" w:fill="FFFFFF"/>
          </w:rPr>
          <w:t xml:space="preserve">předejít domácím katastrofám?  </w:t>
        </w:r>
      </w:hyperlink>
    </w:p>
    <w:p w14:paraId="274F4354" w14:textId="77777777" w:rsidR="00EB31B9" w:rsidRPr="00352742" w:rsidRDefault="00EB31B9" w:rsidP="00EB31B9">
      <w:pPr>
        <w:shd w:val="clear" w:color="auto" w:fill="FFFFFF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09154D">
        <w:rPr>
          <w:rFonts w:cstheme="minorHAnsi"/>
          <w:color w:val="000000"/>
          <w:shd w:val="clear" w:color="auto" w:fill="FFFFFF"/>
        </w:rPr>
        <w:t xml:space="preserve"> </w:t>
      </w:r>
    </w:p>
    <w:tbl>
      <w:tblPr>
        <w:tblpPr w:leftFromText="141" w:rightFromText="141" w:horzAnchor="page" w:tblpX="1" w:tblpY="-8732"/>
        <w:tblW w:w="27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060"/>
        <w:gridCol w:w="2000"/>
        <w:gridCol w:w="22741"/>
      </w:tblGrid>
      <w:tr w:rsidR="00EB31B9" w:rsidRPr="002033A1" w14:paraId="24158F00" w14:textId="77777777" w:rsidTr="007879C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A6D6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B37DC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ABDC6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F4060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31B9" w:rsidRPr="002033A1" w14:paraId="49B09398" w14:textId="77777777" w:rsidTr="007879C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BAA98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C80E1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914A6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0723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31B9" w:rsidRPr="002033A1" w14:paraId="496DFC8B" w14:textId="77777777" w:rsidTr="007879C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B0BCF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0B2A8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2A22E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C608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31B9" w:rsidRPr="002033A1" w14:paraId="52B9A195" w14:textId="77777777" w:rsidTr="007879C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3FF5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85D37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CDE33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0E7E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31B9" w:rsidRPr="002033A1" w14:paraId="76FAC878" w14:textId="77777777" w:rsidTr="007879C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8B89B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EE63A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329B1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3575A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31B9" w:rsidRPr="002033A1" w14:paraId="4CDD9483" w14:textId="77777777" w:rsidTr="007879C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9AD51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AAA81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0BE7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16C1E" w14:textId="77777777" w:rsidR="00EB31B9" w:rsidRPr="00167E81" w:rsidRDefault="00EB31B9" w:rsidP="00EB31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B9748B8" w14:textId="77777777" w:rsidR="00EB31B9" w:rsidRPr="009D01D8" w:rsidRDefault="00EB31B9" w:rsidP="00EB31B9">
      <w:pPr>
        <w:shd w:val="clear" w:color="auto" w:fill="FFFFFF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9D01D8">
        <w:rPr>
          <w:rFonts w:cstheme="minorHAnsi"/>
          <w:color w:val="000000"/>
          <w:shd w:val="clear" w:color="auto" w:fill="FFFFFF"/>
        </w:rPr>
        <w:t xml:space="preserve">Ve stejném termínu probíhá i další bonusová </w:t>
      </w:r>
      <w:r>
        <w:rPr>
          <w:rFonts w:cstheme="minorHAnsi"/>
          <w:color w:val="000000"/>
          <w:shd w:val="clear" w:color="auto" w:fill="FFFFFF"/>
        </w:rPr>
        <w:t>akce KB Pojišťovny</w:t>
      </w:r>
      <w:r w:rsidRPr="009D01D8">
        <w:rPr>
          <w:rFonts w:cstheme="minorHAnsi"/>
          <w:color w:val="000000"/>
          <w:shd w:val="clear" w:color="auto" w:fill="FFFFFF"/>
        </w:rPr>
        <w:t xml:space="preserve"> </w:t>
      </w:r>
      <w:hyperlink r:id="rId15" w:history="1">
        <w:r w:rsidRPr="00C623B6">
          <w:rPr>
            <w:rStyle w:val="Hypertextovodkaz"/>
            <w:rFonts w:cstheme="minorHAnsi"/>
            <w:color w:val="0070C0"/>
            <w:shd w:val="clear" w:color="auto" w:fill="FFFFFF"/>
          </w:rPr>
          <w:t>www.kbpojistovna.cz/zivot</w:t>
        </w:r>
      </w:hyperlink>
      <w:r w:rsidRPr="00C623B6">
        <w:rPr>
          <w:rStyle w:val="Hypertextovodkaz"/>
          <w:color w:val="auto"/>
        </w:rPr>
        <w:t>,</w:t>
      </w:r>
      <w:r w:rsidRPr="00C623B6">
        <w:rPr>
          <w:rFonts w:cstheme="minorHAnsi"/>
          <w:shd w:val="clear" w:color="auto" w:fill="FFFFFF"/>
        </w:rPr>
        <w:t xml:space="preserve"> </w:t>
      </w:r>
      <w:r w:rsidRPr="009D01D8">
        <w:rPr>
          <w:rFonts w:cstheme="minorHAnsi"/>
          <w:shd w:val="clear" w:color="auto" w:fill="FFFFFF"/>
        </w:rPr>
        <w:t xml:space="preserve">která se </w:t>
      </w:r>
      <w:r w:rsidRPr="009D01D8">
        <w:rPr>
          <w:rFonts w:cstheme="minorHAnsi"/>
          <w:color w:val="000000"/>
          <w:shd w:val="clear" w:color="auto" w:fill="FFFFFF"/>
        </w:rPr>
        <w:t xml:space="preserve">týká životního pojištění </w:t>
      </w:r>
      <w:proofErr w:type="spellStart"/>
      <w:r w:rsidRPr="009D01D8">
        <w:rPr>
          <w:rFonts w:cstheme="minorHAnsi"/>
          <w:b/>
          <w:bCs/>
        </w:rPr>
        <w:t>MojeJistota</w:t>
      </w:r>
      <w:proofErr w:type="spellEnd"/>
      <w:r w:rsidRPr="009D01D8">
        <w:rPr>
          <w:rFonts w:cstheme="minorHAnsi"/>
          <w:b/>
          <w:bCs/>
        </w:rPr>
        <w:t xml:space="preserve">. </w:t>
      </w:r>
      <w:r w:rsidRPr="009D01D8">
        <w:rPr>
          <w:rFonts w:cstheme="minorHAnsi"/>
        </w:rPr>
        <w:t>KB Pojišťovna v ní garantuje</w:t>
      </w:r>
      <w:r w:rsidRPr="009D01D8">
        <w:rPr>
          <w:rFonts w:cstheme="minorHAnsi"/>
          <w:b/>
          <w:bCs/>
        </w:rPr>
        <w:t xml:space="preserve"> dvojnásobné pojistné plnění v případě diagnózy závažných onemocnění. </w:t>
      </w:r>
    </w:p>
    <w:p w14:paraId="7E0077ED" w14:textId="5AB34336" w:rsidR="00147B61" w:rsidRDefault="00147B61" w:rsidP="00F71878">
      <w:pPr>
        <w:jc w:val="both"/>
        <w:rPr>
          <w:rFonts w:cstheme="minorHAnsi"/>
          <w:sz w:val="24"/>
        </w:rPr>
      </w:pPr>
    </w:p>
    <w:p w14:paraId="58DABA42" w14:textId="77777777" w:rsidR="00147B61" w:rsidRDefault="00147B61" w:rsidP="00147B61">
      <w:pPr>
        <w:rPr>
          <w:sz w:val="24"/>
        </w:rPr>
      </w:pPr>
      <w:r>
        <w:rPr>
          <w:color w:val="191919"/>
          <w:sz w:val="18"/>
          <w:szCs w:val="18"/>
        </w:rPr>
        <w:t>KB Pojišťovna je obchodní značka, kterou Komerční pojišťovna, a.s., (poskytovatel produktu) používá k marketingové komunikaci.</w:t>
      </w:r>
    </w:p>
    <w:p w14:paraId="0E646EA8" w14:textId="30182012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9B8A67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BD249B" w14:paraId="48752372" w14:textId="77777777" w:rsidTr="00FB03D8">
        <w:tc>
          <w:tcPr>
            <w:tcW w:w="3209" w:type="dxa"/>
          </w:tcPr>
          <w:p w14:paraId="360AB505" w14:textId="77777777" w:rsidR="00BD249B" w:rsidRPr="00014683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  <w:r>
              <w:rPr>
                <w:sz w:val="18"/>
                <w:szCs w:val="18"/>
              </w:rPr>
              <w:t xml:space="preserve"> </w:t>
            </w:r>
          </w:p>
          <w:p w14:paraId="53CF4F7D" w14:textId="77777777" w:rsidR="00BD249B" w:rsidRPr="00014683" w:rsidRDefault="005939A4" w:rsidP="00BD249B">
            <w:pPr>
              <w:rPr>
                <w:sz w:val="18"/>
                <w:szCs w:val="18"/>
              </w:rPr>
            </w:pPr>
            <w:hyperlink r:id="rId16" w:history="1">
              <w:r w:rsidR="00BD249B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1A7F6BA8" w14:textId="532963F9" w:rsidR="00BD249B" w:rsidRPr="00014683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09" w:type="dxa"/>
          </w:tcPr>
          <w:p w14:paraId="25AEE3FC" w14:textId="77777777" w:rsidR="00BD249B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416CFE5B" w14:textId="77777777" w:rsidR="00BD249B" w:rsidRPr="00014683" w:rsidRDefault="005939A4" w:rsidP="00BD249B">
            <w:pPr>
              <w:rPr>
                <w:sz w:val="18"/>
                <w:szCs w:val="18"/>
              </w:rPr>
            </w:pPr>
            <w:hyperlink r:id="rId17" w:history="1">
              <w:r w:rsidR="00BD249B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27707430" w14:textId="0D66D1A9" w:rsidR="00BD249B" w:rsidRPr="00014683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  <w:tc>
          <w:tcPr>
            <w:tcW w:w="3210" w:type="dxa"/>
          </w:tcPr>
          <w:p w14:paraId="397FD6EB" w14:textId="251A92AC" w:rsidR="00BD249B" w:rsidRPr="00014683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Pr="00014683">
              <w:rPr>
                <w:sz w:val="18"/>
                <w:szCs w:val="18"/>
              </w:rPr>
              <w:br/>
            </w:r>
            <w:hyperlink r:id="rId18" w:history="1">
              <w:r w:rsidRPr="001D238E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3F20B20C" w14:textId="7864CE28" w:rsidR="00BD249B" w:rsidRPr="00014683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  <w:p w14:paraId="72D3F544" w14:textId="4CE79F93" w:rsidR="00BD249B" w:rsidRPr="00014683" w:rsidRDefault="00BD249B" w:rsidP="00BD249B">
            <w:pPr>
              <w:rPr>
                <w:sz w:val="18"/>
                <w:szCs w:val="18"/>
              </w:rPr>
            </w:pP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C1AC" w14:textId="77777777" w:rsidR="005939A4" w:rsidRDefault="005939A4" w:rsidP="00014683">
      <w:pPr>
        <w:spacing w:line="240" w:lineRule="auto"/>
      </w:pPr>
      <w:r>
        <w:separator/>
      </w:r>
    </w:p>
  </w:endnote>
  <w:endnote w:type="continuationSeparator" w:id="0">
    <w:p w14:paraId="5F60DD51" w14:textId="77777777" w:rsidR="005939A4" w:rsidRDefault="005939A4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5939A4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4AA6" w14:textId="77777777" w:rsidR="005939A4" w:rsidRDefault="005939A4" w:rsidP="00014683">
      <w:pPr>
        <w:spacing w:line="240" w:lineRule="auto"/>
      </w:pPr>
      <w:r>
        <w:separator/>
      </w:r>
    </w:p>
  </w:footnote>
  <w:footnote w:type="continuationSeparator" w:id="0">
    <w:p w14:paraId="77EFB507" w14:textId="77777777" w:rsidR="005939A4" w:rsidRDefault="005939A4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00A25"/>
    <w:rsid w:val="0001295E"/>
    <w:rsid w:val="00014683"/>
    <w:rsid w:val="000602DF"/>
    <w:rsid w:val="00091EA8"/>
    <w:rsid w:val="000B20E0"/>
    <w:rsid w:val="000E6239"/>
    <w:rsid w:val="00147B61"/>
    <w:rsid w:val="00166D04"/>
    <w:rsid w:val="00194675"/>
    <w:rsid w:val="001B3C9F"/>
    <w:rsid w:val="001B5CBF"/>
    <w:rsid w:val="001C5B9A"/>
    <w:rsid w:val="00351FF5"/>
    <w:rsid w:val="0039017F"/>
    <w:rsid w:val="0042189F"/>
    <w:rsid w:val="004B1728"/>
    <w:rsid w:val="00502BF5"/>
    <w:rsid w:val="00544872"/>
    <w:rsid w:val="00557C4C"/>
    <w:rsid w:val="005939A4"/>
    <w:rsid w:val="005E176C"/>
    <w:rsid w:val="00645DFE"/>
    <w:rsid w:val="00652624"/>
    <w:rsid w:val="00681A0D"/>
    <w:rsid w:val="00684D56"/>
    <w:rsid w:val="006A3CAF"/>
    <w:rsid w:val="00770FFB"/>
    <w:rsid w:val="008E2FD9"/>
    <w:rsid w:val="008E49F7"/>
    <w:rsid w:val="008E5786"/>
    <w:rsid w:val="00912958"/>
    <w:rsid w:val="00916B99"/>
    <w:rsid w:val="00922ADA"/>
    <w:rsid w:val="00945BEC"/>
    <w:rsid w:val="009957ED"/>
    <w:rsid w:val="00A6642E"/>
    <w:rsid w:val="00B0339B"/>
    <w:rsid w:val="00BD249B"/>
    <w:rsid w:val="00C57BCC"/>
    <w:rsid w:val="00C623B6"/>
    <w:rsid w:val="00CC13E7"/>
    <w:rsid w:val="00D040B2"/>
    <w:rsid w:val="00DB4B06"/>
    <w:rsid w:val="00E04801"/>
    <w:rsid w:val="00E51958"/>
    <w:rsid w:val="00E537C7"/>
    <w:rsid w:val="00E66168"/>
    <w:rsid w:val="00E74A14"/>
    <w:rsid w:val="00EB31B9"/>
    <w:rsid w:val="00ED5E0E"/>
    <w:rsid w:val="00F40D83"/>
    <w:rsid w:val="00F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E537C7"/>
  </w:style>
  <w:style w:type="paragraph" w:customStyle="1" w:styleId="Zkladnodstavec">
    <w:name w:val="[Základní odstavec]"/>
    <w:basedOn w:val="Normln"/>
    <w:uiPriority w:val="99"/>
    <w:rsid w:val="00EB31B9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bpojistovna.cz/majetek" TargetMode="External"/><Relationship Id="rId18" Type="http://schemas.openxmlformats.org/officeDocument/2006/relationships/hyperlink" Target="mailto:tomas_zavoral@kb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ichal_teubner@kb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ka_nevoralova@kb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kbpojistovna.cz/zivo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tive.seznamzpravy.cz/jak-predejit-domacim-katastrofam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73895DF4AD644AB69252231F63077" ma:contentTypeVersion="6" ma:contentTypeDescription="Create a new document." ma:contentTypeScope="" ma:versionID="565fb8c8d61ab677f7d1d82c23e1c7be">
  <xsd:schema xmlns:xsd="http://www.w3.org/2001/XMLSchema" xmlns:xs="http://www.w3.org/2001/XMLSchema" xmlns:p="http://schemas.microsoft.com/office/2006/metadata/properties" xmlns:ns3="aac21c95-57d9-435e-ac88-4eb28b2a7b90" xmlns:ns4="a02caf29-9514-4976-9781-3891ad60c62c" targetNamespace="http://schemas.microsoft.com/office/2006/metadata/properties" ma:root="true" ma:fieldsID="a6bb4a1d4328f7dc65185b80d51bf5a0" ns3:_="" ns4:_="">
    <xsd:import namespace="aac21c95-57d9-435e-ac88-4eb28b2a7b90"/>
    <xsd:import namespace="a02caf29-9514-4976-9781-3891ad60c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1c95-57d9-435e-ac88-4eb28b2a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af29-9514-4976-9781-3891ad60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c21c95-57d9-435e-ac88-4eb28b2a7b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B5093-EB37-4788-81F9-842B30C94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21c95-57d9-435e-ac88-4eb28b2a7b90"/>
    <ds:schemaRef ds:uri="a02caf29-9514-4976-9781-3891ad60c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92AED3-43A7-4961-9B88-67272A5BF863}">
  <ds:schemaRefs>
    <ds:schemaRef ds:uri="http://schemas.microsoft.com/office/2006/metadata/properties"/>
    <ds:schemaRef ds:uri="http://schemas.microsoft.com/office/infopath/2007/PartnerControls"/>
    <ds:schemaRef ds:uri="aac21c95-57d9-435e-ac88-4eb28b2a7b90"/>
  </ds:schemaRefs>
</ds:datastoreItem>
</file>

<file path=customXml/itemProps4.xml><?xml version="1.0" encoding="utf-8"?>
<ds:datastoreItem xmlns:ds="http://schemas.openxmlformats.org/officeDocument/2006/customXml" ds:itemID="{F0F922C4-16ED-4B7E-9267-2364F18A3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Nevoralova Sarka</cp:lastModifiedBy>
  <cp:revision>3</cp:revision>
  <dcterms:created xsi:type="dcterms:W3CDTF">2023-06-07T09:59:00Z</dcterms:created>
  <dcterms:modified xsi:type="dcterms:W3CDTF">2023-06-07T10:00:00Z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0x010100BE773895DF4AD644AB69252231F63077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2023-06-07T10:00:30Z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c0fe2600-a59f-487a-8b83-c2efd1728d9d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